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0788A" w14:textId="6D191161" w:rsidR="000E7F96" w:rsidRDefault="000E7F96" w:rsidP="000E7F96">
      <w:pPr>
        <w:pStyle w:val="Nadpis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Požadavek na zahájení nového programu (</w:t>
      </w:r>
      <w:r w:rsidR="00554A4F">
        <w:t xml:space="preserve">TECHSEC </w:t>
      </w:r>
      <w:r w:rsidR="005131FE">
        <w:t>I</w:t>
      </w:r>
      <w:r>
        <w:t>)</w:t>
      </w:r>
    </w:p>
    <w:p w14:paraId="701D1BA0" w14:textId="1D7FCF0F" w:rsidR="000E7F96" w:rsidRDefault="000E7F96" w:rsidP="000E7F96">
      <w:pPr>
        <w:jc w:val="both"/>
      </w:pPr>
      <w:r>
        <w:t xml:space="preserve">V souladu s ustanoveními písm. a) až d) odst. 6, § 5a zákona č. 130/2002 Sb., </w:t>
      </w:r>
      <w:r w:rsidR="004F598F">
        <w:rPr>
          <w:bCs/>
        </w:rPr>
        <w:t>o podpoře výzkumu, vývoje a inovací z veřejných prostředků a o změně některých zákonů (zákon o podpoře výzkumu a vývoje), ve znění pozdějších předpisů</w:t>
      </w:r>
      <w:r>
        <w:t xml:space="preserve">, se předkládá požadavek na zahájení nového programu podpory aplikovaného výzkumu včetně povinných údajů. </w:t>
      </w:r>
    </w:p>
    <w:p w14:paraId="3551F080" w14:textId="31E77313" w:rsidR="00050825" w:rsidRDefault="00050825" w:rsidP="000E7F96">
      <w:pPr>
        <w:jc w:val="both"/>
      </w:pPr>
      <w:r>
        <w:t xml:space="preserve">Program TECHSEC 1 </w:t>
      </w:r>
      <w:r w:rsidR="00D402C0">
        <w:t xml:space="preserve">bude integrovat v současnosti realizované programy OPSEC a SECTECH, přičemž jeho spuštění kopíruje harmonogram ukončování programu SECTECH a navazuje na </w:t>
      </w:r>
      <w:r w:rsidR="00D6305B">
        <w:t xml:space="preserve">původní plán realizace 3 veřejné soutěže v programu OPSEC. Součástí návrhu tohoto programu proto bude adekvátní návrh změn programu OPSEC, ze kterého se předpokládá administrativní převedení části rozpočtu. </w:t>
      </w:r>
    </w:p>
    <w:p w14:paraId="27B9ACA2" w14:textId="77777777" w:rsidR="000E7F96" w:rsidRDefault="000E7F96" w:rsidP="000E7F96">
      <w:pPr>
        <w:pStyle w:val="Nadpis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Název</w:t>
      </w:r>
    </w:p>
    <w:p w14:paraId="19207EB9" w14:textId="5FE81404" w:rsidR="000E7F96" w:rsidRPr="000E7F96" w:rsidRDefault="00F06CA9" w:rsidP="000E7F96">
      <w:r>
        <w:rPr>
          <w:rFonts w:cstheme="minorHAnsi"/>
          <w:b/>
        </w:rPr>
        <w:t>Technologické výzvy v bezpečnostním výzkumu (TECHSEC 1)</w:t>
      </w:r>
    </w:p>
    <w:p w14:paraId="0EAA37B5" w14:textId="660DAEA6" w:rsidR="000E7F96" w:rsidRDefault="000E7F96" w:rsidP="000E7F96">
      <w:pPr>
        <w:pStyle w:val="Nadpis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cíle</w:t>
      </w:r>
      <w:r w:rsidR="00653192">
        <w:t xml:space="preserve"> a zaměření programu</w:t>
      </w:r>
    </w:p>
    <w:p w14:paraId="3327CC95" w14:textId="1B98C3E8" w:rsidR="000E7F96" w:rsidRDefault="00240BA5" w:rsidP="00322F54">
      <w:pPr>
        <w:jc w:val="both"/>
      </w:pPr>
      <w:r>
        <w:t>Program TECHSEC bude v budoucím portfoliu bezpečnostního výzkumu synergicky doplňovat</w:t>
      </w:r>
      <w:r w:rsidR="00F72A78">
        <w:t xml:space="preserve"> dva další programy účelové podpory</w:t>
      </w:r>
      <w:r w:rsidR="00B670EB">
        <w:t xml:space="preserve">. TECHSEC bude </w:t>
      </w:r>
      <w:r w:rsidR="0091446E">
        <w:t>c</w:t>
      </w:r>
      <w:r w:rsidR="0091446E" w:rsidRPr="0091446E">
        <w:rPr>
          <w:b/>
          <w:bCs/>
        </w:rPr>
        <w:t>ílen</w:t>
      </w:r>
      <w:r w:rsidR="00B670EB" w:rsidRPr="0091446E">
        <w:rPr>
          <w:b/>
          <w:bCs/>
        </w:rPr>
        <w:t xml:space="preserve"> na podporu ad hoc </w:t>
      </w:r>
      <w:r w:rsidR="003C5229" w:rsidRPr="0091446E">
        <w:rPr>
          <w:b/>
          <w:bCs/>
        </w:rPr>
        <w:t xml:space="preserve">technologických </w:t>
      </w:r>
      <w:r w:rsidR="00B670EB" w:rsidRPr="0091446E">
        <w:rPr>
          <w:b/>
          <w:bCs/>
        </w:rPr>
        <w:t>řešení</w:t>
      </w:r>
      <w:r w:rsidR="00153895" w:rsidRPr="0091446E">
        <w:rPr>
          <w:b/>
          <w:bCs/>
        </w:rPr>
        <w:t xml:space="preserve">, jejich </w:t>
      </w:r>
      <w:r w:rsidR="001B7FAC" w:rsidRPr="0091446E">
        <w:rPr>
          <w:b/>
          <w:bCs/>
        </w:rPr>
        <w:t>ověřování, rozvoj</w:t>
      </w:r>
      <w:r w:rsidR="00B670EB" w:rsidRPr="0091446E">
        <w:rPr>
          <w:b/>
          <w:bCs/>
        </w:rPr>
        <w:t xml:space="preserve"> a jejich </w:t>
      </w:r>
      <w:r w:rsidR="00885915" w:rsidRPr="0091446E">
        <w:rPr>
          <w:b/>
          <w:bCs/>
        </w:rPr>
        <w:t>dotahování co nejblíže komerčnímu uplatnění, v některých případech přímému uplatnění u konečných uživatelů</w:t>
      </w:r>
      <w:r w:rsidR="00885915">
        <w:t>.</w:t>
      </w:r>
      <w:r w:rsidR="003C5229">
        <w:t xml:space="preserve"> Tím doplní systematický rozvoj </w:t>
      </w:r>
      <w:r w:rsidR="00B63036">
        <w:t>schopností výzkumných organizací realizovat relevantní bezpečnostní výzkum (</w:t>
      </w:r>
      <w:proofErr w:type="spellStart"/>
      <w:r w:rsidR="00B63036">
        <w:t>prog</w:t>
      </w:r>
      <w:proofErr w:type="spellEnd"/>
      <w:r w:rsidR="00B63036">
        <w:t xml:space="preserve">. IMPAKT 2) a </w:t>
      </w:r>
      <w:r w:rsidR="003B42C8">
        <w:t xml:space="preserve">nástroj pro plnění ad hoc výzkumných potřeb konečných uživatelů výsledků – součástí bezpečnostního </w:t>
      </w:r>
      <w:r w:rsidR="001B7FAC">
        <w:t>s</w:t>
      </w:r>
      <w:r w:rsidR="003B42C8">
        <w:t>ystému</w:t>
      </w:r>
      <w:r w:rsidR="001B7FAC">
        <w:t xml:space="preserve"> ČR</w:t>
      </w:r>
      <w:r w:rsidR="003B42C8">
        <w:t xml:space="preserve"> (SECPRO</w:t>
      </w:r>
      <w:r w:rsidR="007205B9">
        <w:t>, později</w:t>
      </w:r>
      <w:r w:rsidR="003B42C8">
        <w:t xml:space="preserve"> SECPRO 2)</w:t>
      </w:r>
      <w:r w:rsidR="007205B9">
        <w:t>.</w:t>
      </w:r>
      <w:r w:rsidR="00885915">
        <w:t xml:space="preserve"> </w:t>
      </w:r>
      <w:r w:rsidR="007205B9">
        <w:t xml:space="preserve">TECHSEC je tedy nástrojem plnění jednoho ze tří prioritních </w:t>
      </w:r>
      <w:r w:rsidR="0091446E">
        <w:t>cílů</w:t>
      </w:r>
      <w:r w:rsidR="007205B9">
        <w:t xml:space="preserve"> rozvoje </w:t>
      </w:r>
      <w:r w:rsidR="0091446E">
        <w:t xml:space="preserve">podpory </w:t>
      </w:r>
      <w:r w:rsidR="007205B9">
        <w:t xml:space="preserve">bezpečnostního výzkumu. </w:t>
      </w:r>
    </w:p>
    <w:p w14:paraId="225B49B2" w14:textId="56122B94" w:rsidR="007205B9" w:rsidRDefault="00896947" w:rsidP="00322F54">
      <w:pPr>
        <w:jc w:val="both"/>
      </w:pPr>
      <w:r>
        <w:t>K naplnění tohoto poslání bude program podporovat několik různých typů projektů</w:t>
      </w:r>
      <w:r w:rsidR="0014465F">
        <w:t>, reflektujícím stupnici technologické vyspělosti výsledků (TRL</w:t>
      </w:r>
      <w:r w:rsidR="0014465F">
        <w:rPr>
          <w:rStyle w:val="Znakapoznpodarou"/>
        </w:rPr>
        <w:footnoteReference w:id="1"/>
      </w:r>
      <w:r w:rsidR="0014465F">
        <w:t xml:space="preserve">). </w:t>
      </w:r>
      <w:r w:rsidR="000B1902">
        <w:t>Jednotlivé typy projektů budou odlišeny nejen svou náplní, ale také mírou rizika, kterou nese poskytovatel (</w:t>
      </w:r>
      <w:r w:rsidR="00F06A72">
        <w:t xml:space="preserve">s postupem k technologii blíže praxi poroste nutná spoluúčast soukromých zdrojů) a zároveň celkovým objemem podpory, který bude </w:t>
      </w:r>
      <w:r w:rsidR="00D507AD">
        <w:t xml:space="preserve">v každém typu možné čerpat (obecně by nejvyšší objemy podpor měly být alokovány </w:t>
      </w:r>
      <w:r w:rsidR="00EC3285">
        <w:t>na posun konceptu technologického řešení z experimentálních/simulovaných prostředí do testování v reálných podmínkách nasazení</w:t>
      </w:r>
      <w:r w:rsidR="003D514B">
        <w:t xml:space="preserve">). </w:t>
      </w:r>
    </w:p>
    <w:p w14:paraId="3F5CFDCA" w14:textId="097112E9" w:rsidR="003D514B" w:rsidRDefault="003D514B" w:rsidP="00322F54">
      <w:pPr>
        <w:jc w:val="both"/>
      </w:pPr>
      <w:r>
        <w:t xml:space="preserve">Formulace typologie projektů a jednotlivých parametrů bude vycházet z programů OPSEC a SECTECH, </w:t>
      </w:r>
      <w:r w:rsidR="00637D07">
        <w:t xml:space="preserve">zkušeností poskytovatele, ale především z aktivní spolupráce s regionálními inovačními centry, agenturami, podporujícími rozvoj start-upů, či malých a středních podniků a s experty na transfer technologií. Proto tento záměr konkrétní typologii nezahrnuje. </w:t>
      </w:r>
    </w:p>
    <w:p w14:paraId="465CE26E" w14:textId="6ED6C78D" w:rsidR="00F641D1" w:rsidRDefault="00F641D1" w:rsidP="00322F54">
      <w:pPr>
        <w:jc w:val="both"/>
      </w:pPr>
      <w:r w:rsidRPr="0091446E">
        <w:rPr>
          <w:b/>
          <w:bCs/>
        </w:rPr>
        <w:t>Věcné zaměření</w:t>
      </w:r>
      <w:r>
        <w:t>:</w:t>
      </w:r>
    </w:p>
    <w:p w14:paraId="14A389A1" w14:textId="209AF27C" w:rsidR="00F641D1" w:rsidRDefault="00F641D1" w:rsidP="007F78C3">
      <w:pPr>
        <w:pStyle w:val="Odstavecseseznamem"/>
        <w:numPr>
          <w:ilvl w:val="0"/>
          <w:numId w:val="1"/>
        </w:numPr>
        <w:jc w:val="both"/>
      </w:pPr>
      <w:r>
        <w:t>Vymáhání práva a for</w:t>
      </w:r>
      <w:r w:rsidR="00151EDC">
        <w:t>enzní vědy</w:t>
      </w:r>
    </w:p>
    <w:p w14:paraId="4CF33965" w14:textId="735541BB" w:rsidR="00151EDC" w:rsidRDefault="00151EDC" w:rsidP="007F78C3">
      <w:pPr>
        <w:pStyle w:val="Odstavecseseznamem"/>
        <w:numPr>
          <w:ilvl w:val="0"/>
          <w:numId w:val="1"/>
        </w:numPr>
        <w:jc w:val="both"/>
      </w:pPr>
      <w:r>
        <w:t>Kyberbezpečnost</w:t>
      </w:r>
    </w:p>
    <w:p w14:paraId="44FFCF06" w14:textId="28C7961A" w:rsidR="001353EC" w:rsidRDefault="00151EDC" w:rsidP="007F78C3">
      <w:pPr>
        <w:pStyle w:val="Odstavecseseznamem"/>
        <w:numPr>
          <w:ilvl w:val="0"/>
          <w:numId w:val="1"/>
        </w:numPr>
        <w:jc w:val="both"/>
      </w:pPr>
      <w:r>
        <w:t>Chemick</w:t>
      </w:r>
      <w:r w:rsidR="001353EC">
        <w:t>é</w:t>
      </w:r>
      <w:r>
        <w:t>, biologick</w:t>
      </w:r>
      <w:r w:rsidR="001353EC">
        <w:t>é</w:t>
      </w:r>
      <w:r>
        <w:t>, radiační a jadern</w:t>
      </w:r>
      <w:r w:rsidR="001353EC">
        <w:t>é hrozby</w:t>
      </w:r>
    </w:p>
    <w:p w14:paraId="577A5E8E" w14:textId="63C7A9E4" w:rsidR="00151EDC" w:rsidRDefault="007F78C3" w:rsidP="007F78C3">
      <w:pPr>
        <w:pStyle w:val="Odstavecseseznamem"/>
        <w:numPr>
          <w:ilvl w:val="0"/>
          <w:numId w:val="1"/>
        </w:numPr>
        <w:jc w:val="both"/>
      </w:pPr>
      <w:r>
        <w:t>K</w:t>
      </w:r>
      <w:r w:rsidR="001353EC">
        <w:t xml:space="preserve">rizová připravenost bezpečnostních sborů a </w:t>
      </w:r>
      <w:proofErr w:type="spellStart"/>
      <w:r>
        <w:t>resilience</w:t>
      </w:r>
      <w:proofErr w:type="spellEnd"/>
      <w:r>
        <w:t xml:space="preserve"> společnosti</w:t>
      </w:r>
      <w:r w:rsidR="00151EDC">
        <w:t xml:space="preserve"> </w:t>
      </w:r>
    </w:p>
    <w:p w14:paraId="27FFB9BA" w14:textId="2BEAD4AA" w:rsidR="00072F1D" w:rsidRPr="000E7F96" w:rsidRDefault="00072F1D" w:rsidP="00072F1D">
      <w:pPr>
        <w:jc w:val="both"/>
      </w:pPr>
      <w:r>
        <w:t>Program TECHSEC 1</w:t>
      </w:r>
      <w:r w:rsidR="004243CB">
        <w:t xml:space="preserve"> sdílí toto obecné věcné zaměření s dalšími součástmi budoucího portfolia programů bezpečnostního výzkumu, nevyhnutelně ale bude realizovat zcela odlišný mix projektů a </w:t>
      </w:r>
      <w:r w:rsidR="00112EE7">
        <w:t xml:space="preserve">investice do jednotlivých věcných priorit se zde budou lišit. Poskytovatel proto nepředjímá členění na podprogramy, přestože se může v rámci přípravy programu ukázat jako účelné. V takovém případě by členění na podprogramy kopírovalo členění věcného zaměření. </w:t>
      </w:r>
    </w:p>
    <w:p w14:paraId="77C50D89" w14:textId="2031B406" w:rsidR="00881BC1" w:rsidRDefault="00881BC1" w:rsidP="00F1215B">
      <w:pPr>
        <w:spacing w:before="120" w:after="120"/>
        <w:jc w:val="both"/>
        <w:rPr>
          <w:bCs/>
        </w:rPr>
      </w:pPr>
      <w:r>
        <w:rPr>
          <w:bCs/>
        </w:rPr>
        <w:lastRenderedPageBreak/>
        <w:t xml:space="preserve">Formulace tohoto podprogramu vzejde z plánovaného širokého průzkumu potřeb a „poučení ze zkušeností“ </w:t>
      </w:r>
      <w:r w:rsidR="006C523E">
        <w:rPr>
          <w:bCs/>
        </w:rPr>
        <w:t>dalších partnerů, regionálních inovačních center a průmyslových asociací</w:t>
      </w:r>
      <w:r>
        <w:rPr>
          <w:bCs/>
        </w:rPr>
        <w:t xml:space="preserve"> v implementaci obdobných nástrojů </w:t>
      </w:r>
      <w:r w:rsidR="00F641D1">
        <w:rPr>
          <w:bCs/>
        </w:rPr>
        <w:br/>
      </w:r>
      <w:r>
        <w:rPr>
          <w:bCs/>
        </w:rPr>
        <w:t xml:space="preserve">a tento návrh je tedy nutné mít za předběžný. </w:t>
      </w:r>
    </w:p>
    <w:p w14:paraId="72B302E9" w14:textId="77777777" w:rsidR="000E7F96" w:rsidRDefault="000E7F96" w:rsidP="000E7F96">
      <w:pPr>
        <w:pStyle w:val="Nadpis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Doba trvání</w:t>
      </w:r>
    </w:p>
    <w:p w14:paraId="58839C27" w14:textId="1EF140CC" w:rsidR="000E7F96" w:rsidRPr="000C61CA" w:rsidRDefault="000E7F96" w:rsidP="000E7F96">
      <w:pPr>
        <w:spacing w:before="120" w:after="120"/>
        <w:jc w:val="both"/>
        <w:rPr>
          <w:rFonts w:cstheme="minorHAnsi"/>
        </w:rPr>
      </w:pPr>
      <w:r w:rsidRPr="000C61CA">
        <w:rPr>
          <w:rFonts w:cstheme="minorHAnsi"/>
        </w:rPr>
        <w:t xml:space="preserve">Termín vyhlášení programu: </w:t>
      </w:r>
      <w:r w:rsidRPr="006A7908">
        <w:rPr>
          <w:rFonts w:cstheme="minorHAnsi"/>
          <w:b/>
        </w:rPr>
        <w:t>1. 1. 20</w:t>
      </w:r>
      <w:r w:rsidR="005131FE">
        <w:rPr>
          <w:rFonts w:cstheme="minorHAnsi"/>
          <w:b/>
        </w:rPr>
        <w:t>2</w:t>
      </w:r>
      <w:r w:rsidR="000C4CE3">
        <w:rPr>
          <w:rFonts w:cstheme="minorHAnsi"/>
          <w:b/>
        </w:rPr>
        <w:t>8</w:t>
      </w:r>
    </w:p>
    <w:p w14:paraId="4C0A7995" w14:textId="12E36232" w:rsidR="000E7F96" w:rsidRDefault="000E7F96" w:rsidP="000E7F96">
      <w:pPr>
        <w:spacing w:before="120" w:after="120"/>
        <w:jc w:val="both"/>
        <w:rPr>
          <w:rFonts w:cstheme="minorHAnsi"/>
        </w:rPr>
      </w:pPr>
      <w:r w:rsidRPr="000C61CA">
        <w:rPr>
          <w:rFonts w:cstheme="minorHAnsi"/>
        </w:rPr>
        <w:t xml:space="preserve">Doba trvání programu: </w:t>
      </w:r>
      <w:r w:rsidR="005131FE">
        <w:rPr>
          <w:rFonts w:cstheme="minorHAnsi"/>
        </w:rPr>
        <w:t>6</w:t>
      </w:r>
      <w:r w:rsidRPr="000C61CA">
        <w:rPr>
          <w:rFonts w:cstheme="minorHAnsi"/>
        </w:rPr>
        <w:t xml:space="preserve"> let, tj. do </w:t>
      </w:r>
      <w:r w:rsidRPr="006A7908">
        <w:rPr>
          <w:rFonts w:cstheme="minorHAnsi"/>
          <w:b/>
        </w:rPr>
        <w:t>31. 12. 20</w:t>
      </w:r>
      <w:r w:rsidR="005131FE">
        <w:rPr>
          <w:rFonts w:cstheme="minorHAnsi"/>
          <w:b/>
        </w:rPr>
        <w:t>3</w:t>
      </w:r>
      <w:r w:rsidR="000C4CE3">
        <w:rPr>
          <w:rFonts w:cstheme="minorHAnsi"/>
          <w:b/>
        </w:rPr>
        <w:t>3</w:t>
      </w:r>
    </w:p>
    <w:p w14:paraId="48E714CE" w14:textId="77777777" w:rsidR="000E7F96" w:rsidRDefault="000E7F96" w:rsidP="000E7F96">
      <w:pPr>
        <w:pStyle w:val="Nadpis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Celkové výdaje v letech</w:t>
      </w:r>
    </w:p>
    <w:p w14:paraId="64160E35" w14:textId="77777777" w:rsidR="000E7F96" w:rsidRPr="0094281F" w:rsidRDefault="000E7F96" w:rsidP="000E7F96">
      <w:pPr>
        <w:spacing w:before="120" w:after="120"/>
        <w:jc w:val="both"/>
        <w:rPr>
          <w:rFonts w:eastAsia="Times New Roman" w:cstheme="minorHAnsi"/>
        </w:rPr>
      </w:pPr>
      <w:r w:rsidRPr="0094281F">
        <w:rPr>
          <w:rFonts w:eastAsia="Times New Roman" w:cstheme="minorHAnsi"/>
        </w:rPr>
        <w:t>Předpokládané souhrnné finanční ukazatele Programu (v tis. Kč):</w:t>
      </w:r>
    </w:p>
    <w:tbl>
      <w:tblPr>
        <w:tblStyle w:val="Barevntabulkasmkou7zvraznn21"/>
        <w:tblW w:w="5000" w:type="pct"/>
        <w:tblInd w:w="-10" w:type="dxa"/>
        <w:tblLook w:val="04A0" w:firstRow="1" w:lastRow="0" w:firstColumn="1" w:lastColumn="0" w:noHBand="0" w:noVBand="1"/>
      </w:tblPr>
      <w:tblGrid>
        <w:gridCol w:w="1893"/>
        <w:gridCol w:w="977"/>
        <w:gridCol w:w="977"/>
        <w:gridCol w:w="976"/>
        <w:gridCol w:w="976"/>
        <w:gridCol w:w="976"/>
        <w:gridCol w:w="1150"/>
        <w:gridCol w:w="1147"/>
      </w:tblGrid>
      <w:tr w:rsidR="000C4CE3" w:rsidRPr="0094281F" w14:paraId="18347BDC" w14:textId="77777777" w:rsidTr="000C4C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43" w:type="pct"/>
            <w:noWrap/>
            <w:hideMark/>
          </w:tcPr>
          <w:p w14:paraId="3D2BEC42" w14:textId="77777777" w:rsidR="000C4CE3" w:rsidRPr="00870909" w:rsidRDefault="000C4CE3" w:rsidP="00175908">
            <w:pPr>
              <w:rPr>
                <w:rFonts w:eastAsia="Times New Roman" w:cstheme="minorHAnsi"/>
                <w:b w:val="0"/>
              </w:rPr>
            </w:pPr>
          </w:p>
        </w:tc>
        <w:tc>
          <w:tcPr>
            <w:tcW w:w="538" w:type="pct"/>
            <w:noWrap/>
            <w:hideMark/>
          </w:tcPr>
          <w:p w14:paraId="5A5AA26D" w14:textId="11F7C62C" w:rsidR="000C4CE3" w:rsidRPr="00870909" w:rsidRDefault="000C4CE3" w:rsidP="00175908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color w:val="000000"/>
              </w:rPr>
            </w:pPr>
            <w:r w:rsidRPr="00870909">
              <w:rPr>
                <w:rFonts w:eastAsia="Times New Roman" w:cstheme="minorHAnsi"/>
                <w:color w:val="000000"/>
              </w:rPr>
              <w:t>20</w:t>
            </w:r>
            <w:r>
              <w:rPr>
                <w:rFonts w:eastAsia="Times New Roman" w:cstheme="minorHAnsi"/>
                <w:color w:val="000000"/>
              </w:rPr>
              <w:t>28</w:t>
            </w:r>
          </w:p>
        </w:tc>
        <w:tc>
          <w:tcPr>
            <w:tcW w:w="538" w:type="pct"/>
            <w:noWrap/>
            <w:hideMark/>
          </w:tcPr>
          <w:p w14:paraId="62160F48" w14:textId="10741B9F" w:rsidR="000C4CE3" w:rsidRPr="00870909" w:rsidRDefault="000C4CE3" w:rsidP="00175908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color w:val="000000"/>
              </w:rPr>
            </w:pPr>
            <w:r w:rsidRPr="00870909">
              <w:rPr>
                <w:rFonts w:eastAsia="Times New Roman" w:cstheme="minorHAnsi"/>
                <w:color w:val="000000"/>
              </w:rPr>
              <w:t>20</w:t>
            </w:r>
            <w:r>
              <w:rPr>
                <w:rFonts w:eastAsia="Times New Roman" w:cstheme="minorHAnsi"/>
                <w:color w:val="000000"/>
              </w:rPr>
              <w:t>29</w:t>
            </w:r>
          </w:p>
        </w:tc>
        <w:tc>
          <w:tcPr>
            <w:tcW w:w="538" w:type="pct"/>
            <w:noWrap/>
            <w:hideMark/>
          </w:tcPr>
          <w:p w14:paraId="03551547" w14:textId="2C7427B1" w:rsidR="000C4CE3" w:rsidRPr="00870909" w:rsidRDefault="000C4CE3" w:rsidP="00175908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color w:val="000000"/>
              </w:rPr>
            </w:pPr>
            <w:r w:rsidRPr="00870909">
              <w:rPr>
                <w:rFonts w:eastAsia="Times New Roman" w:cstheme="minorHAnsi"/>
                <w:color w:val="000000"/>
              </w:rPr>
              <w:t>20</w:t>
            </w:r>
            <w:r>
              <w:rPr>
                <w:rFonts w:eastAsia="Times New Roman" w:cstheme="minorHAnsi"/>
                <w:color w:val="000000"/>
              </w:rPr>
              <w:t>30</w:t>
            </w:r>
          </w:p>
        </w:tc>
        <w:tc>
          <w:tcPr>
            <w:tcW w:w="538" w:type="pct"/>
            <w:noWrap/>
            <w:hideMark/>
          </w:tcPr>
          <w:p w14:paraId="721DE948" w14:textId="10F13D83" w:rsidR="000C4CE3" w:rsidRPr="00870909" w:rsidRDefault="000C4CE3" w:rsidP="00175908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color w:val="000000"/>
              </w:rPr>
            </w:pPr>
            <w:r w:rsidRPr="00870909">
              <w:rPr>
                <w:rFonts w:eastAsia="Times New Roman" w:cstheme="minorHAnsi"/>
                <w:color w:val="000000"/>
              </w:rPr>
              <w:t>20</w:t>
            </w:r>
            <w:r>
              <w:rPr>
                <w:rFonts w:eastAsia="Times New Roman" w:cstheme="minorHAnsi"/>
                <w:color w:val="000000"/>
              </w:rPr>
              <w:t>31</w:t>
            </w:r>
          </w:p>
        </w:tc>
        <w:tc>
          <w:tcPr>
            <w:tcW w:w="538" w:type="pct"/>
            <w:noWrap/>
            <w:hideMark/>
          </w:tcPr>
          <w:p w14:paraId="008B5A9C" w14:textId="2F6206E1" w:rsidR="000C4CE3" w:rsidRPr="00870909" w:rsidRDefault="000C4CE3" w:rsidP="00175908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color w:val="000000"/>
              </w:rPr>
            </w:pPr>
            <w:r w:rsidRPr="00870909">
              <w:rPr>
                <w:rFonts w:eastAsia="Times New Roman" w:cstheme="minorHAnsi"/>
                <w:color w:val="000000"/>
              </w:rPr>
              <w:t>20</w:t>
            </w:r>
            <w:r>
              <w:rPr>
                <w:rFonts w:eastAsia="Times New Roman" w:cstheme="minorHAnsi"/>
                <w:color w:val="000000"/>
              </w:rPr>
              <w:t>32</w:t>
            </w:r>
          </w:p>
        </w:tc>
        <w:tc>
          <w:tcPr>
            <w:tcW w:w="634" w:type="pct"/>
          </w:tcPr>
          <w:p w14:paraId="2C2F8F16" w14:textId="7158D0DF" w:rsidR="000C4CE3" w:rsidRPr="00870909" w:rsidRDefault="000C4CE3" w:rsidP="0017590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2033</w:t>
            </w:r>
          </w:p>
        </w:tc>
        <w:tc>
          <w:tcPr>
            <w:tcW w:w="632" w:type="pct"/>
            <w:noWrap/>
            <w:hideMark/>
          </w:tcPr>
          <w:p w14:paraId="49FA08E8" w14:textId="40A244A0" w:rsidR="000C4CE3" w:rsidRPr="00870909" w:rsidRDefault="000C4CE3" w:rsidP="0017590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color w:val="000000"/>
              </w:rPr>
            </w:pPr>
            <w:r w:rsidRPr="00870909">
              <w:rPr>
                <w:rFonts w:eastAsia="Times New Roman" w:cstheme="minorHAnsi"/>
                <w:color w:val="000000"/>
              </w:rPr>
              <w:t>Celkem</w:t>
            </w:r>
          </w:p>
        </w:tc>
      </w:tr>
      <w:tr w:rsidR="000C4CE3" w:rsidRPr="0094281F" w14:paraId="178CD0E0" w14:textId="77777777" w:rsidTr="005A36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3" w:type="pct"/>
            <w:noWrap/>
          </w:tcPr>
          <w:p w14:paraId="2E39D4DD" w14:textId="0A140323" w:rsidR="000C4CE3" w:rsidRPr="00870909" w:rsidRDefault="000C4CE3" w:rsidP="000C4CE3">
            <w:pPr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Výdaje SR</w:t>
            </w:r>
          </w:p>
        </w:tc>
        <w:tc>
          <w:tcPr>
            <w:tcW w:w="538" w:type="pct"/>
            <w:noWrap/>
            <w:vAlign w:val="center"/>
          </w:tcPr>
          <w:p w14:paraId="727B1798" w14:textId="2F94E27F" w:rsidR="000C4CE3" w:rsidRPr="00870909" w:rsidRDefault="000C4CE3" w:rsidP="005A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300 000</w:t>
            </w:r>
          </w:p>
        </w:tc>
        <w:tc>
          <w:tcPr>
            <w:tcW w:w="538" w:type="pct"/>
            <w:noWrap/>
            <w:vAlign w:val="center"/>
          </w:tcPr>
          <w:p w14:paraId="77450D23" w14:textId="504E9FAD" w:rsidR="000C4CE3" w:rsidRPr="00870909" w:rsidRDefault="000C4CE3" w:rsidP="005A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300 000</w:t>
            </w:r>
          </w:p>
        </w:tc>
        <w:tc>
          <w:tcPr>
            <w:tcW w:w="538" w:type="pct"/>
            <w:noWrap/>
            <w:vAlign w:val="center"/>
          </w:tcPr>
          <w:p w14:paraId="2F15FFB6" w14:textId="61D7C230" w:rsidR="000C4CE3" w:rsidRPr="00870909" w:rsidRDefault="000C4CE3" w:rsidP="005A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3</w:t>
            </w:r>
            <w:r w:rsidR="00C258B6">
              <w:rPr>
                <w:rFonts w:eastAsia="Times New Roman" w:cstheme="minorHAnsi"/>
                <w:color w:val="000000"/>
              </w:rPr>
              <w:t>3</w:t>
            </w:r>
            <w:r>
              <w:rPr>
                <w:rFonts w:eastAsia="Times New Roman" w:cstheme="minorHAnsi"/>
                <w:color w:val="000000"/>
              </w:rPr>
              <w:t>0 000</w:t>
            </w:r>
          </w:p>
        </w:tc>
        <w:tc>
          <w:tcPr>
            <w:tcW w:w="538" w:type="pct"/>
            <w:noWrap/>
            <w:vAlign w:val="center"/>
          </w:tcPr>
          <w:p w14:paraId="79FFB6AA" w14:textId="4AC74B3C" w:rsidR="000C4CE3" w:rsidRPr="00870909" w:rsidRDefault="000C4CE3" w:rsidP="005A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3</w:t>
            </w:r>
            <w:r w:rsidR="00C258B6">
              <w:rPr>
                <w:rFonts w:eastAsia="Times New Roman" w:cstheme="minorHAnsi"/>
                <w:color w:val="000000"/>
              </w:rPr>
              <w:t>5</w:t>
            </w:r>
            <w:r>
              <w:rPr>
                <w:rFonts w:eastAsia="Times New Roman" w:cstheme="minorHAnsi"/>
                <w:color w:val="000000"/>
              </w:rPr>
              <w:t>0 000</w:t>
            </w:r>
          </w:p>
        </w:tc>
        <w:tc>
          <w:tcPr>
            <w:tcW w:w="538" w:type="pct"/>
            <w:noWrap/>
            <w:vAlign w:val="center"/>
          </w:tcPr>
          <w:p w14:paraId="620F97E2" w14:textId="53BEC309" w:rsidR="000C4CE3" w:rsidRPr="00870909" w:rsidRDefault="000C4CE3" w:rsidP="005A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380 000</w:t>
            </w:r>
          </w:p>
        </w:tc>
        <w:tc>
          <w:tcPr>
            <w:tcW w:w="634" w:type="pct"/>
            <w:vAlign w:val="center"/>
          </w:tcPr>
          <w:p w14:paraId="5119DB97" w14:textId="736B5785" w:rsidR="000C4CE3" w:rsidRDefault="000C4CE3" w:rsidP="005A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330 000</w:t>
            </w:r>
          </w:p>
        </w:tc>
        <w:tc>
          <w:tcPr>
            <w:tcW w:w="632" w:type="pct"/>
            <w:noWrap/>
            <w:vAlign w:val="center"/>
          </w:tcPr>
          <w:p w14:paraId="0B42AA52" w14:textId="6612E258" w:rsidR="000C4CE3" w:rsidRPr="00870909" w:rsidRDefault="000C4CE3" w:rsidP="005A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1 9</w:t>
            </w:r>
            <w:r w:rsidR="00C258B6">
              <w:rPr>
                <w:rFonts w:eastAsia="Times New Roman" w:cstheme="minorHAnsi"/>
                <w:color w:val="000000"/>
              </w:rPr>
              <w:t>9</w:t>
            </w:r>
            <w:r>
              <w:rPr>
                <w:rFonts w:eastAsia="Times New Roman" w:cstheme="minorHAnsi"/>
                <w:color w:val="000000"/>
              </w:rPr>
              <w:t>0 000</w:t>
            </w:r>
          </w:p>
        </w:tc>
      </w:tr>
      <w:tr w:rsidR="000C4CE3" w:rsidRPr="0094281F" w14:paraId="49C4C515" w14:textId="77777777" w:rsidTr="005A3646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3" w:type="pct"/>
            <w:noWrap/>
          </w:tcPr>
          <w:p w14:paraId="56650895" w14:textId="74B46380" w:rsidR="000C4CE3" w:rsidRPr="00870909" w:rsidRDefault="000C4CE3" w:rsidP="000C4CE3">
            <w:pPr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Další financování</w:t>
            </w:r>
            <w:r>
              <w:rPr>
                <w:rStyle w:val="Znakapoznpodarou"/>
                <w:rFonts w:eastAsia="Times New Roman" w:cstheme="minorHAnsi"/>
                <w:b/>
              </w:rPr>
              <w:footnoteReference w:id="2"/>
            </w:r>
          </w:p>
        </w:tc>
        <w:tc>
          <w:tcPr>
            <w:tcW w:w="538" w:type="pct"/>
            <w:noWrap/>
            <w:vAlign w:val="center"/>
          </w:tcPr>
          <w:p w14:paraId="12EE47C3" w14:textId="7DC1DF93" w:rsidR="000C4CE3" w:rsidRPr="00870909" w:rsidRDefault="000C4CE3" w:rsidP="005A36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48 500</w:t>
            </w:r>
          </w:p>
        </w:tc>
        <w:tc>
          <w:tcPr>
            <w:tcW w:w="538" w:type="pct"/>
            <w:noWrap/>
            <w:vAlign w:val="center"/>
          </w:tcPr>
          <w:p w14:paraId="5A43BBF6" w14:textId="7350899C" w:rsidR="000C4CE3" w:rsidRPr="00870909" w:rsidRDefault="000C4CE3" w:rsidP="005A36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48 500</w:t>
            </w:r>
          </w:p>
        </w:tc>
        <w:tc>
          <w:tcPr>
            <w:tcW w:w="538" w:type="pct"/>
            <w:noWrap/>
            <w:vAlign w:val="center"/>
          </w:tcPr>
          <w:p w14:paraId="738EA814" w14:textId="34B78D81" w:rsidR="000C4CE3" w:rsidRPr="00870909" w:rsidRDefault="000C4CE3" w:rsidP="005A36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48 500</w:t>
            </w:r>
          </w:p>
        </w:tc>
        <w:tc>
          <w:tcPr>
            <w:tcW w:w="538" w:type="pct"/>
            <w:noWrap/>
            <w:vAlign w:val="center"/>
          </w:tcPr>
          <w:p w14:paraId="42D2EDB1" w14:textId="60EAC459" w:rsidR="000C4CE3" w:rsidRPr="00870909" w:rsidRDefault="000C4CE3" w:rsidP="005A36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48 500</w:t>
            </w:r>
          </w:p>
        </w:tc>
        <w:tc>
          <w:tcPr>
            <w:tcW w:w="538" w:type="pct"/>
            <w:noWrap/>
            <w:vAlign w:val="center"/>
          </w:tcPr>
          <w:p w14:paraId="30F584D4" w14:textId="584D0550" w:rsidR="000C4CE3" w:rsidRPr="00870909" w:rsidRDefault="000C4CE3" w:rsidP="005A36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48 500</w:t>
            </w:r>
          </w:p>
        </w:tc>
        <w:tc>
          <w:tcPr>
            <w:tcW w:w="634" w:type="pct"/>
            <w:vAlign w:val="center"/>
          </w:tcPr>
          <w:p w14:paraId="6422C356" w14:textId="78097775" w:rsidR="000C4CE3" w:rsidRDefault="000C4CE3" w:rsidP="005A36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48 500</w:t>
            </w:r>
          </w:p>
        </w:tc>
        <w:tc>
          <w:tcPr>
            <w:tcW w:w="632" w:type="pct"/>
            <w:noWrap/>
            <w:vAlign w:val="center"/>
          </w:tcPr>
          <w:p w14:paraId="55F59793" w14:textId="680A09B1" w:rsidR="000C4CE3" w:rsidRPr="00870909" w:rsidRDefault="000C4CE3" w:rsidP="005A36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291 000</w:t>
            </w:r>
          </w:p>
        </w:tc>
      </w:tr>
      <w:tr w:rsidR="000C4CE3" w:rsidRPr="00B81F1F" w14:paraId="6243735F" w14:textId="77777777" w:rsidTr="005A36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3" w:type="pct"/>
            <w:noWrap/>
            <w:hideMark/>
          </w:tcPr>
          <w:p w14:paraId="29015CF8" w14:textId="0898DA50" w:rsidR="000C4CE3" w:rsidRPr="00B81F1F" w:rsidRDefault="000C4CE3" w:rsidP="000C4CE3">
            <w:pPr>
              <w:rPr>
                <w:rFonts w:eastAsia="Times New Roman" w:cstheme="minorHAnsi"/>
                <w:b/>
                <w:color w:val="000000"/>
              </w:rPr>
            </w:pPr>
            <w:r w:rsidRPr="00B81F1F">
              <w:rPr>
                <w:rFonts w:eastAsia="Times New Roman" w:cstheme="minorHAnsi"/>
                <w:b/>
                <w:color w:val="000000"/>
              </w:rPr>
              <w:t>Celkem</w:t>
            </w:r>
          </w:p>
        </w:tc>
        <w:tc>
          <w:tcPr>
            <w:tcW w:w="538" w:type="pct"/>
            <w:noWrap/>
            <w:vAlign w:val="center"/>
          </w:tcPr>
          <w:p w14:paraId="3EC56144" w14:textId="11AB0883" w:rsidR="000C4CE3" w:rsidRPr="00B81F1F" w:rsidRDefault="000C4CE3" w:rsidP="005A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color w:val="000000"/>
              </w:rPr>
            </w:pPr>
            <w:r w:rsidRPr="00B81F1F">
              <w:rPr>
                <w:rFonts w:eastAsia="Times New Roman" w:cstheme="minorHAnsi"/>
                <w:b/>
                <w:color w:val="000000"/>
              </w:rPr>
              <w:t>348 500</w:t>
            </w:r>
          </w:p>
        </w:tc>
        <w:tc>
          <w:tcPr>
            <w:tcW w:w="538" w:type="pct"/>
            <w:noWrap/>
            <w:vAlign w:val="center"/>
          </w:tcPr>
          <w:p w14:paraId="35313E7A" w14:textId="73BC16BC" w:rsidR="000C4CE3" w:rsidRPr="00B81F1F" w:rsidRDefault="000C4CE3" w:rsidP="005A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color w:val="000000"/>
              </w:rPr>
            </w:pPr>
            <w:r w:rsidRPr="00B81F1F">
              <w:rPr>
                <w:rFonts w:eastAsia="Times New Roman" w:cstheme="minorHAnsi"/>
                <w:b/>
                <w:color w:val="000000"/>
              </w:rPr>
              <w:t>348 500</w:t>
            </w:r>
          </w:p>
        </w:tc>
        <w:tc>
          <w:tcPr>
            <w:tcW w:w="538" w:type="pct"/>
            <w:noWrap/>
            <w:vAlign w:val="center"/>
          </w:tcPr>
          <w:p w14:paraId="3D36A0D1" w14:textId="00BC4DC8" w:rsidR="000C4CE3" w:rsidRPr="00B81F1F" w:rsidRDefault="000C4CE3" w:rsidP="005A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color w:val="000000"/>
              </w:rPr>
            </w:pPr>
            <w:r w:rsidRPr="00B81F1F">
              <w:rPr>
                <w:rFonts w:eastAsia="Times New Roman" w:cstheme="minorHAnsi"/>
                <w:b/>
                <w:color w:val="000000"/>
              </w:rPr>
              <w:t>348 500</w:t>
            </w:r>
          </w:p>
        </w:tc>
        <w:tc>
          <w:tcPr>
            <w:tcW w:w="538" w:type="pct"/>
            <w:noWrap/>
            <w:vAlign w:val="center"/>
          </w:tcPr>
          <w:p w14:paraId="73C44B3D" w14:textId="297B6286" w:rsidR="000C4CE3" w:rsidRPr="00B81F1F" w:rsidRDefault="000C4CE3" w:rsidP="005A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color w:val="000000"/>
              </w:rPr>
            </w:pPr>
            <w:r w:rsidRPr="00B81F1F">
              <w:rPr>
                <w:rFonts w:eastAsia="Times New Roman" w:cstheme="minorHAnsi"/>
                <w:b/>
                <w:color w:val="000000"/>
              </w:rPr>
              <w:t>378 500</w:t>
            </w:r>
          </w:p>
        </w:tc>
        <w:tc>
          <w:tcPr>
            <w:tcW w:w="538" w:type="pct"/>
            <w:noWrap/>
            <w:vAlign w:val="center"/>
          </w:tcPr>
          <w:p w14:paraId="4C8750C8" w14:textId="1DD1AE1F" w:rsidR="000C4CE3" w:rsidRPr="00B81F1F" w:rsidRDefault="000C4CE3" w:rsidP="005A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color w:val="000000"/>
              </w:rPr>
            </w:pPr>
            <w:r w:rsidRPr="00B81F1F">
              <w:rPr>
                <w:rFonts w:eastAsia="Times New Roman" w:cstheme="minorHAnsi"/>
                <w:b/>
                <w:color w:val="000000"/>
              </w:rPr>
              <w:t>428 500</w:t>
            </w:r>
          </w:p>
        </w:tc>
        <w:tc>
          <w:tcPr>
            <w:tcW w:w="634" w:type="pct"/>
            <w:vAlign w:val="center"/>
          </w:tcPr>
          <w:p w14:paraId="0BA87C15" w14:textId="1E38C44F" w:rsidR="000C4CE3" w:rsidRPr="00B81F1F" w:rsidRDefault="000C4CE3" w:rsidP="005A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color w:val="000000"/>
              </w:rPr>
            </w:pPr>
            <w:r w:rsidRPr="00B81F1F">
              <w:rPr>
                <w:rFonts w:eastAsia="Times New Roman" w:cstheme="minorHAnsi"/>
                <w:b/>
                <w:color w:val="000000"/>
              </w:rPr>
              <w:t>378 500</w:t>
            </w:r>
          </w:p>
        </w:tc>
        <w:tc>
          <w:tcPr>
            <w:tcW w:w="632" w:type="pct"/>
            <w:noWrap/>
            <w:vAlign w:val="center"/>
          </w:tcPr>
          <w:p w14:paraId="0A00F854" w14:textId="097E5602" w:rsidR="000C4CE3" w:rsidRPr="00B81F1F" w:rsidRDefault="000C4CE3" w:rsidP="005A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color w:val="000000"/>
              </w:rPr>
            </w:pPr>
            <w:r w:rsidRPr="00B81F1F">
              <w:rPr>
                <w:rFonts w:eastAsia="Times New Roman" w:cstheme="minorHAnsi"/>
                <w:b/>
                <w:color w:val="000000"/>
              </w:rPr>
              <w:t>2 2</w:t>
            </w:r>
            <w:r w:rsidR="00C258B6">
              <w:rPr>
                <w:rFonts w:eastAsia="Times New Roman" w:cstheme="minorHAnsi"/>
                <w:b/>
                <w:color w:val="000000"/>
              </w:rPr>
              <w:t>8</w:t>
            </w:r>
            <w:r w:rsidRPr="00B81F1F">
              <w:rPr>
                <w:rFonts w:eastAsia="Times New Roman" w:cstheme="minorHAnsi"/>
                <w:b/>
                <w:color w:val="000000"/>
              </w:rPr>
              <w:t>1 000</w:t>
            </w:r>
          </w:p>
        </w:tc>
      </w:tr>
    </w:tbl>
    <w:p w14:paraId="2B5463F0" w14:textId="4628B020" w:rsidR="000E7F96" w:rsidRPr="0094281F" w:rsidRDefault="000E7F96" w:rsidP="000E7F96">
      <w:pPr>
        <w:jc w:val="both"/>
        <w:rPr>
          <w:rFonts w:eastAsia="Times New Roman" w:cstheme="minorHAnsi"/>
        </w:rPr>
      </w:pPr>
      <w:r w:rsidRPr="0094281F">
        <w:rPr>
          <w:rFonts w:eastAsia="Times New Roman" w:cstheme="minorHAnsi"/>
        </w:rPr>
        <w:t xml:space="preserve">Uvedený přehled obsahuje návrh rozložení výdajů, přičemž jde o </w:t>
      </w:r>
      <w:r w:rsidR="008A4D5A">
        <w:rPr>
          <w:rFonts w:eastAsia="Times New Roman" w:cstheme="minorHAnsi"/>
        </w:rPr>
        <w:t>informaci</w:t>
      </w:r>
      <w:r w:rsidRPr="0094281F">
        <w:rPr>
          <w:rFonts w:eastAsia="Times New Roman" w:cstheme="minorHAnsi"/>
        </w:rPr>
        <w:t xml:space="preserve"> orientační, podléhající úpravě podle ex-ante hodnocení a studie absorpční kapacity. </w:t>
      </w:r>
      <w:r w:rsidR="00891ACD">
        <w:rPr>
          <w:rFonts w:eastAsia="Times New Roman" w:cstheme="minorHAnsi"/>
        </w:rPr>
        <w:t>Program cílí na podporu podnikové sféry, resp. spolupráci akademické a podnikové sféry</w:t>
      </w:r>
      <w:r w:rsidR="00484F5F">
        <w:rPr>
          <w:rFonts w:eastAsia="Times New Roman" w:cstheme="minorHAnsi"/>
        </w:rPr>
        <w:t xml:space="preserve"> s podstatnou rolí malých a středních podniků</w:t>
      </w:r>
      <w:r w:rsidR="00757639">
        <w:rPr>
          <w:rFonts w:eastAsia="Times New Roman" w:cstheme="minorHAnsi"/>
        </w:rPr>
        <w:t>.</w:t>
      </w:r>
      <w:r w:rsidR="00484F5F">
        <w:rPr>
          <w:rFonts w:eastAsia="Times New Roman" w:cstheme="minorHAnsi"/>
        </w:rPr>
        <w:t xml:space="preserve"> Přesto</w:t>
      </w:r>
      <w:r w:rsidR="002A2BC3">
        <w:rPr>
          <w:rFonts w:eastAsia="Times New Roman" w:cstheme="minorHAnsi"/>
        </w:rPr>
        <w:t>že</w:t>
      </w:r>
      <w:r w:rsidR="00484F5F">
        <w:rPr>
          <w:rFonts w:eastAsia="Times New Roman" w:cstheme="minorHAnsi"/>
        </w:rPr>
        <w:t xml:space="preserve"> tento záměr uvádí podíl</w:t>
      </w:r>
      <w:r w:rsidR="002A2BC3">
        <w:rPr>
          <w:rFonts w:eastAsia="Times New Roman" w:cstheme="minorHAnsi"/>
        </w:rPr>
        <w:t xml:space="preserve"> dalšího financování (participace zapojených podniků), jde o údaj více než orientační, protože </w:t>
      </w:r>
      <w:r w:rsidR="008C7115">
        <w:rPr>
          <w:rFonts w:eastAsia="Times New Roman" w:cstheme="minorHAnsi"/>
        </w:rPr>
        <w:t>poskytovatel plánuje udržet tento program maximálně otevřený plnému spektru žádostí a nemůže tedy předvídat ani strukturu přihlášek, ani strukturu úspěšných žádostí, tedy ani podíl jednotlivých typů podniků</w:t>
      </w:r>
      <w:r w:rsidR="00FE5D05">
        <w:rPr>
          <w:rFonts w:eastAsia="Times New Roman" w:cstheme="minorHAnsi"/>
        </w:rPr>
        <w:t>, který indikátor dalšího financování přímo determinuje.</w:t>
      </w:r>
      <w:r w:rsidR="00757639">
        <w:rPr>
          <w:rStyle w:val="Znakapoznpodarou"/>
          <w:rFonts w:eastAsia="Times New Roman" w:cstheme="minorHAnsi"/>
        </w:rPr>
        <w:footnoteReference w:id="3"/>
      </w:r>
      <w:r w:rsidR="00757639">
        <w:rPr>
          <w:rFonts w:eastAsia="Times New Roman" w:cstheme="minorHAnsi"/>
        </w:rPr>
        <w:t xml:space="preserve"> </w:t>
      </w:r>
      <w:r w:rsidRPr="0094281F">
        <w:rPr>
          <w:rFonts w:eastAsia="Times New Roman" w:cstheme="minorHAnsi"/>
        </w:rPr>
        <w:t xml:space="preserve"> </w:t>
      </w:r>
    </w:p>
    <w:p w14:paraId="5F8AADBA" w14:textId="77777777" w:rsidR="000E7F96" w:rsidRDefault="000E7F96" w:rsidP="000E7F96">
      <w:pPr>
        <w:pStyle w:val="Nadpis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Intenzita podpory</w:t>
      </w:r>
    </w:p>
    <w:p w14:paraId="6637939B" w14:textId="272B02F8" w:rsidR="00971670" w:rsidRDefault="000E7F96" w:rsidP="00F1215B">
      <w:pPr>
        <w:jc w:val="both"/>
      </w:pPr>
      <w:r>
        <w:t xml:space="preserve">Vzhledem </w:t>
      </w:r>
      <w:r w:rsidR="009F1DB4">
        <w:t>k zaměření</w:t>
      </w:r>
      <w:r>
        <w:t xml:space="preserve"> na výzkumné organizace se předpokládá maximální intenzita podpory až 100 %. Nejvyšší povolená intenzita podpory pro jednotlivé typy podpořených organizací bude určena v souladu s </w:t>
      </w:r>
      <w:r w:rsidR="00D30E57" w:rsidRPr="001D7311">
        <w:rPr>
          <w:rFonts w:eastAsia="Calibri" w:cs="Times New Roman"/>
        </w:rPr>
        <w:t>Nařízení</w:t>
      </w:r>
      <w:r w:rsidR="00D30E57">
        <w:rPr>
          <w:rFonts w:eastAsia="Calibri" w:cs="Times New Roman"/>
        </w:rPr>
        <w:t>m</w:t>
      </w:r>
      <w:r w:rsidR="00D30E57" w:rsidRPr="001D7311">
        <w:rPr>
          <w:rFonts w:eastAsia="Calibri" w:cs="Times New Roman"/>
        </w:rPr>
        <w:t xml:space="preserve"> Komise č. 651/2014</w:t>
      </w:r>
      <w:r>
        <w:t>,</w:t>
      </w:r>
      <w:r w:rsidR="00786848">
        <w:t xml:space="preserve"> včetně bonifikací za účinnou spolupráci,</w:t>
      </w:r>
      <w:r>
        <w:t xml:space="preserve"> pro kategorie aktivit průmyslový výzkum a experimentální vývoj nebo inovace, podle převládajícího typu aktivity v projektu. </w:t>
      </w:r>
      <w:r w:rsidR="00786848">
        <w:t xml:space="preserve">Dosavadní model otevřené soutěže, včetně umožnění žádostí o </w:t>
      </w:r>
      <w:proofErr w:type="gramStart"/>
      <w:r w:rsidR="00786848">
        <w:t>100%</w:t>
      </w:r>
      <w:proofErr w:type="gramEnd"/>
      <w:r w:rsidR="00786848">
        <w:t xml:space="preserve"> podporu u nižších stupňů technologické vyspělosti výsledků</w:t>
      </w:r>
      <w:r w:rsidR="00DC6CA3">
        <w:t xml:space="preserve">, v kombinaci s minimální výší participace u vyšších stupňů technologické vyspělosti se ukazuje jako funkční a bude převzat ze zdrojových programů OPSEC a SECTECH. </w:t>
      </w:r>
      <w:r w:rsidR="00EC6735">
        <w:t xml:space="preserve">Průměrná intenzita podpory </w:t>
      </w:r>
      <w:r w:rsidR="00653192">
        <w:t xml:space="preserve">za program jako celek </w:t>
      </w:r>
      <w:r w:rsidR="00EC6735">
        <w:t xml:space="preserve">se proto předpokládá v úrovni cca </w:t>
      </w:r>
      <w:proofErr w:type="gramStart"/>
      <w:r w:rsidR="00EC6735">
        <w:t>85%</w:t>
      </w:r>
      <w:proofErr w:type="gramEnd"/>
      <w:r w:rsidR="00653192">
        <w:t xml:space="preserve">. </w:t>
      </w:r>
    </w:p>
    <w:sectPr w:rsidR="009716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9522E" w14:textId="77777777" w:rsidR="00D50DD8" w:rsidRDefault="00D50DD8" w:rsidP="000E7F96">
      <w:pPr>
        <w:spacing w:before="0" w:after="0" w:line="240" w:lineRule="auto"/>
      </w:pPr>
      <w:r>
        <w:separator/>
      </w:r>
    </w:p>
  </w:endnote>
  <w:endnote w:type="continuationSeparator" w:id="0">
    <w:p w14:paraId="4E5B73C8" w14:textId="77777777" w:rsidR="00D50DD8" w:rsidRDefault="00D50DD8" w:rsidP="000E7F9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A239A" w14:textId="77777777" w:rsidR="00D50DD8" w:rsidRDefault="00D50DD8" w:rsidP="000E7F96">
      <w:pPr>
        <w:spacing w:before="0" w:after="0" w:line="240" w:lineRule="auto"/>
      </w:pPr>
      <w:r>
        <w:separator/>
      </w:r>
    </w:p>
  </w:footnote>
  <w:footnote w:type="continuationSeparator" w:id="0">
    <w:p w14:paraId="5FCB34DB" w14:textId="77777777" w:rsidR="00D50DD8" w:rsidRDefault="00D50DD8" w:rsidP="000E7F96">
      <w:pPr>
        <w:spacing w:before="0" w:after="0" w:line="240" w:lineRule="auto"/>
      </w:pPr>
      <w:r>
        <w:continuationSeparator/>
      </w:r>
    </w:p>
  </w:footnote>
  <w:footnote w:id="1">
    <w:p w14:paraId="01DC5C3F" w14:textId="7CE99DC8" w:rsidR="0014465F" w:rsidRDefault="0014465F">
      <w:pPr>
        <w:pStyle w:val="Textpoznpodarou"/>
      </w:pPr>
      <w:r>
        <w:rPr>
          <w:rStyle w:val="Znakapoznpodarou"/>
        </w:rPr>
        <w:footnoteRef/>
      </w:r>
      <w:r>
        <w:t xml:space="preserve"> Technology </w:t>
      </w:r>
      <w:proofErr w:type="spellStart"/>
      <w:r>
        <w:t>Readiness</w:t>
      </w:r>
      <w:proofErr w:type="spellEnd"/>
      <w:r>
        <w:t xml:space="preserve"> Level</w:t>
      </w:r>
    </w:p>
  </w:footnote>
  <w:footnote w:id="2">
    <w:p w14:paraId="475A1BA9" w14:textId="5B4FAE77" w:rsidR="000C4CE3" w:rsidRDefault="000C4CE3">
      <w:pPr>
        <w:pStyle w:val="Textpoznpodarou"/>
      </w:pPr>
      <w:r>
        <w:rPr>
          <w:rStyle w:val="Znakapoznpodarou"/>
        </w:rPr>
        <w:footnoteRef/>
      </w:r>
      <w:r>
        <w:t xml:space="preserve"> Poskytovatel je si plně vědom toho, že 48 500 tis. Kč nereprezentuje v každém roce realizace </w:t>
      </w:r>
      <w:proofErr w:type="gramStart"/>
      <w:r>
        <w:t>15%</w:t>
      </w:r>
      <w:proofErr w:type="gramEnd"/>
      <w:r>
        <w:t xml:space="preserve"> výdajů SR, s ohledem na to, že kofinancování je spojeno jak v </w:t>
      </w:r>
      <w:proofErr w:type="gramStart"/>
      <w:r>
        <w:t>objemu</w:t>
      </w:r>
      <w:proofErr w:type="gramEnd"/>
      <w:r>
        <w:t xml:space="preserve"> tak v čase s výsledky veřejné soutěže, nelze tyto hodnoty předjímat. </w:t>
      </w:r>
    </w:p>
  </w:footnote>
  <w:footnote w:id="3">
    <w:p w14:paraId="6BCE10B8" w14:textId="64F2C95C" w:rsidR="00757639" w:rsidRDefault="00757639">
      <w:pPr>
        <w:pStyle w:val="Textpoznpodarou"/>
      </w:pPr>
      <w:r>
        <w:rPr>
          <w:rStyle w:val="Znakapoznpodarou"/>
        </w:rPr>
        <w:footnoteRef/>
      </w:r>
      <w:r>
        <w:t xml:space="preserve"> Dlouhodobě jde o problematicky konstruovaný indikátor, </w:t>
      </w:r>
      <w:r w:rsidR="000B3B5A">
        <w:t>který poskytovatel ovlivňuje přímo pouze arbitrárním určením minimální spoluúčasti komerčních partnerů, s ohledem na specifika vývoje bezpečnostních technologií i trhu s nimi, který je ukázkovým příkladem tržního selhání, se k tomuto postupu MV dlouhodobě neuchyluje; minimální spolu</w:t>
      </w:r>
      <w:r w:rsidR="00FC3297">
        <w:t>účast, pokud bude určena, v tomto programu reprezentuje vždy pouze míru sdílení rizika pro daný typ projektu</w:t>
      </w:r>
      <w:r w:rsidR="00077509">
        <w:t xml:space="preserve">; mix jednotlivých typů na celkové podpoře ale nelze předjímat.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820D5"/>
    <w:multiLevelType w:val="hybridMultilevel"/>
    <w:tmpl w:val="9A0650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73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F96"/>
    <w:rsid w:val="00001D16"/>
    <w:rsid w:val="00050825"/>
    <w:rsid w:val="00072F1D"/>
    <w:rsid w:val="00077509"/>
    <w:rsid w:val="000B1902"/>
    <w:rsid w:val="000B3B5A"/>
    <w:rsid w:val="000C3D75"/>
    <w:rsid w:val="000C4CE3"/>
    <w:rsid w:val="000C6866"/>
    <w:rsid w:val="000E7F96"/>
    <w:rsid w:val="00112EE7"/>
    <w:rsid w:val="001136A7"/>
    <w:rsid w:val="001171ED"/>
    <w:rsid w:val="001246C9"/>
    <w:rsid w:val="001353EC"/>
    <w:rsid w:val="0014465F"/>
    <w:rsid w:val="00151EDC"/>
    <w:rsid w:val="00153895"/>
    <w:rsid w:val="001B7FAC"/>
    <w:rsid w:val="00215F86"/>
    <w:rsid w:val="0022294A"/>
    <w:rsid w:val="0023178F"/>
    <w:rsid w:val="00240BA5"/>
    <w:rsid w:val="00262E31"/>
    <w:rsid w:val="00265EA5"/>
    <w:rsid w:val="002A2BC3"/>
    <w:rsid w:val="002E7366"/>
    <w:rsid w:val="002F62CC"/>
    <w:rsid w:val="00322F54"/>
    <w:rsid w:val="003531B5"/>
    <w:rsid w:val="00372238"/>
    <w:rsid w:val="003B42C8"/>
    <w:rsid w:val="003C5229"/>
    <w:rsid w:val="003C7833"/>
    <w:rsid w:val="003D514B"/>
    <w:rsid w:val="00414C3E"/>
    <w:rsid w:val="004243CB"/>
    <w:rsid w:val="00451A09"/>
    <w:rsid w:val="00484F5F"/>
    <w:rsid w:val="00491D57"/>
    <w:rsid w:val="004A081A"/>
    <w:rsid w:val="004B5709"/>
    <w:rsid w:val="004E35D7"/>
    <w:rsid w:val="004F598F"/>
    <w:rsid w:val="00505DCF"/>
    <w:rsid w:val="005131FE"/>
    <w:rsid w:val="00516F6A"/>
    <w:rsid w:val="00520DEE"/>
    <w:rsid w:val="00554A4F"/>
    <w:rsid w:val="005A3646"/>
    <w:rsid w:val="005B5B55"/>
    <w:rsid w:val="005E79ED"/>
    <w:rsid w:val="00637D07"/>
    <w:rsid w:val="00653192"/>
    <w:rsid w:val="00680E06"/>
    <w:rsid w:val="006B3DB5"/>
    <w:rsid w:val="006C523E"/>
    <w:rsid w:val="0071270D"/>
    <w:rsid w:val="007205B9"/>
    <w:rsid w:val="00726D2D"/>
    <w:rsid w:val="00726FE7"/>
    <w:rsid w:val="00757639"/>
    <w:rsid w:val="00762155"/>
    <w:rsid w:val="00771BA2"/>
    <w:rsid w:val="00786848"/>
    <w:rsid w:val="007C34AD"/>
    <w:rsid w:val="007F78C3"/>
    <w:rsid w:val="00841798"/>
    <w:rsid w:val="00881BC1"/>
    <w:rsid w:val="00885915"/>
    <w:rsid w:val="00891ACD"/>
    <w:rsid w:val="00896947"/>
    <w:rsid w:val="008A4D5A"/>
    <w:rsid w:val="008C7115"/>
    <w:rsid w:val="008E51BB"/>
    <w:rsid w:val="0091446E"/>
    <w:rsid w:val="0094626F"/>
    <w:rsid w:val="00971670"/>
    <w:rsid w:val="00977FB7"/>
    <w:rsid w:val="009B3404"/>
    <w:rsid w:val="009F1DB4"/>
    <w:rsid w:val="00A73971"/>
    <w:rsid w:val="00AA5EB9"/>
    <w:rsid w:val="00AC4999"/>
    <w:rsid w:val="00B23C97"/>
    <w:rsid w:val="00B55DF5"/>
    <w:rsid w:val="00B63036"/>
    <w:rsid w:val="00B670EB"/>
    <w:rsid w:val="00B81F1F"/>
    <w:rsid w:val="00BC111A"/>
    <w:rsid w:val="00BC20BE"/>
    <w:rsid w:val="00C258B6"/>
    <w:rsid w:val="00C30EEB"/>
    <w:rsid w:val="00C325BE"/>
    <w:rsid w:val="00C860F4"/>
    <w:rsid w:val="00C91F84"/>
    <w:rsid w:val="00C93F6D"/>
    <w:rsid w:val="00D05A12"/>
    <w:rsid w:val="00D30E57"/>
    <w:rsid w:val="00D402C0"/>
    <w:rsid w:val="00D507AD"/>
    <w:rsid w:val="00D50DD8"/>
    <w:rsid w:val="00D52FB0"/>
    <w:rsid w:val="00D6305B"/>
    <w:rsid w:val="00D807AD"/>
    <w:rsid w:val="00DC6CA3"/>
    <w:rsid w:val="00DD348C"/>
    <w:rsid w:val="00E2505B"/>
    <w:rsid w:val="00EC3285"/>
    <w:rsid w:val="00EC6735"/>
    <w:rsid w:val="00ED7E1B"/>
    <w:rsid w:val="00F06750"/>
    <w:rsid w:val="00F06A72"/>
    <w:rsid w:val="00F06CA9"/>
    <w:rsid w:val="00F1215B"/>
    <w:rsid w:val="00F274B8"/>
    <w:rsid w:val="00F52CF7"/>
    <w:rsid w:val="00F641D1"/>
    <w:rsid w:val="00F7201F"/>
    <w:rsid w:val="00F726AB"/>
    <w:rsid w:val="00F72A78"/>
    <w:rsid w:val="00F87BE0"/>
    <w:rsid w:val="00FC3297"/>
    <w:rsid w:val="00FE5D05"/>
    <w:rsid w:val="00FF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CBC03"/>
  <w15:docId w15:val="{3E86D070-213C-4AC3-89F9-0E92F4D70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cs-CZ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E7F96"/>
  </w:style>
  <w:style w:type="paragraph" w:styleId="Nadpis1">
    <w:name w:val="heading 1"/>
    <w:basedOn w:val="Normln"/>
    <w:next w:val="Normln"/>
    <w:link w:val="Nadpis1Char"/>
    <w:uiPriority w:val="9"/>
    <w:qFormat/>
    <w:rsid w:val="000E7F96"/>
    <w:pPr>
      <w:pBdr>
        <w:top w:val="single" w:sz="24" w:space="0" w:color="3494BA" w:themeColor="accent1"/>
        <w:left w:val="single" w:sz="24" w:space="0" w:color="3494BA" w:themeColor="accent1"/>
        <w:bottom w:val="single" w:sz="24" w:space="0" w:color="3494BA" w:themeColor="accent1"/>
        <w:right w:val="single" w:sz="24" w:space="0" w:color="3494BA" w:themeColor="accent1"/>
      </w:pBdr>
      <w:shd w:val="clear" w:color="auto" w:fill="3494BA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E7F96"/>
    <w:pPr>
      <w:pBdr>
        <w:top w:val="single" w:sz="24" w:space="0" w:color="D4EAF3" w:themeColor="accent1" w:themeTint="33"/>
        <w:left w:val="single" w:sz="24" w:space="0" w:color="D4EAF3" w:themeColor="accent1" w:themeTint="33"/>
        <w:bottom w:val="single" w:sz="24" w:space="0" w:color="D4EAF3" w:themeColor="accent1" w:themeTint="33"/>
        <w:right w:val="single" w:sz="24" w:space="0" w:color="D4EAF3" w:themeColor="accent1" w:themeTint="33"/>
      </w:pBdr>
      <w:shd w:val="clear" w:color="auto" w:fill="D4EAF3" w:themeFill="accent1" w:themeFillTint="33"/>
      <w:spacing w:after="0"/>
      <w:outlineLvl w:val="1"/>
    </w:pPr>
    <w:rPr>
      <w:caps/>
      <w:spacing w:val="15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E7F96"/>
    <w:pPr>
      <w:pBdr>
        <w:top w:val="single" w:sz="6" w:space="2" w:color="3494BA" w:themeColor="accent1"/>
      </w:pBdr>
      <w:spacing w:before="300" w:after="0"/>
      <w:outlineLvl w:val="2"/>
    </w:pPr>
    <w:rPr>
      <w:caps/>
      <w:color w:val="1A495C" w:themeColor="accent1" w:themeShade="7F"/>
      <w:spacing w:val="15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E7F96"/>
    <w:pPr>
      <w:pBdr>
        <w:top w:val="dotted" w:sz="6" w:space="2" w:color="3494BA" w:themeColor="accent1"/>
      </w:pBdr>
      <w:spacing w:before="200" w:after="0"/>
      <w:outlineLvl w:val="3"/>
    </w:pPr>
    <w:rPr>
      <w:caps/>
      <w:color w:val="276E8B" w:themeColor="accent1" w:themeShade="BF"/>
      <w:spacing w:val="1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E7F96"/>
    <w:pPr>
      <w:pBdr>
        <w:bottom w:val="single" w:sz="6" w:space="1" w:color="3494BA" w:themeColor="accent1"/>
      </w:pBdr>
      <w:spacing w:before="200" w:after="0"/>
      <w:outlineLvl w:val="4"/>
    </w:pPr>
    <w:rPr>
      <w:caps/>
      <w:color w:val="276E8B" w:themeColor="accent1" w:themeShade="BF"/>
      <w:spacing w:val="1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E7F96"/>
    <w:pPr>
      <w:pBdr>
        <w:bottom w:val="dotted" w:sz="6" w:space="1" w:color="3494BA" w:themeColor="accent1"/>
      </w:pBdr>
      <w:spacing w:before="200" w:after="0"/>
      <w:outlineLvl w:val="5"/>
    </w:pPr>
    <w:rPr>
      <w:caps/>
      <w:color w:val="276E8B" w:themeColor="accent1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E7F96"/>
    <w:pPr>
      <w:spacing w:before="200" w:after="0"/>
      <w:outlineLvl w:val="6"/>
    </w:pPr>
    <w:rPr>
      <w:caps/>
      <w:color w:val="276E8B" w:themeColor="accent1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E7F96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E7F96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E7F96"/>
    <w:rPr>
      <w:caps/>
      <w:color w:val="FFFFFF" w:themeColor="background1"/>
      <w:spacing w:val="15"/>
      <w:sz w:val="22"/>
      <w:szCs w:val="22"/>
      <w:shd w:val="clear" w:color="auto" w:fill="3494BA" w:themeFill="accent1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E7F96"/>
    <w:rPr>
      <w:caps/>
      <w:spacing w:val="15"/>
      <w:shd w:val="clear" w:color="auto" w:fill="D4EAF3" w:themeFill="accent1" w:themeFillTint="33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E7F96"/>
    <w:rPr>
      <w:caps/>
      <w:color w:val="1A495C" w:themeColor="accent1" w:themeShade="7F"/>
      <w:spacing w:val="15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E7F96"/>
    <w:rPr>
      <w:caps/>
      <w:color w:val="276E8B" w:themeColor="accent1" w:themeShade="B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E7F96"/>
    <w:rPr>
      <w:caps/>
      <w:color w:val="276E8B" w:themeColor="accent1" w:themeShade="B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E7F96"/>
    <w:rPr>
      <w:caps/>
      <w:color w:val="276E8B" w:themeColor="accent1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E7F96"/>
    <w:rPr>
      <w:caps/>
      <w:color w:val="276E8B" w:themeColor="accent1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E7F96"/>
    <w:rPr>
      <w:caps/>
      <w:spacing w:val="10"/>
      <w:sz w:val="18"/>
      <w:szCs w:val="1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E7F96"/>
    <w:rPr>
      <w:i/>
      <w:iCs/>
      <w:caps/>
      <w:spacing w:val="10"/>
      <w:sz w:val="18"/>
      <w:szCs w:val="18"/>
    </w:rPr>
  </w:style>
  <w:style w:type="paragraph" w:styleId="Titulek">
    <w:name w:val="caption"/>
    <w:basedOn w:val="Normln"/>
    <w:next w:val="Normln"/>
    <w:uiPriority w:val="35"/>
    <w:unhideWhenUsed/>
    <w:qFormat/>
    <w:rsid w:val="000E7F96"/>
    <w:rPr>
      <w:b/>
      <w:bCs/>
      <w:color w:val="276E8B" w:themeColor="accent1" w:themeShade="BF"/>
      <w:sz w:val="16"/>
      <w:szCs w:val="16"/>
    </w:rPr>
  </w:style>
  <w:style w:type="paragraph" w:styleId="Nzev">
    <w:name w:val="Title"/>
    <w:basedOn w:val="Normln"/>
    <w:next w:val="Normln"/>
    <w:link w:val="NzevChar"/>
    <w:uiPriority w:val="10"/>
    <w:qFormat/>
    <w:rsid w:val="000E7F96"/>
    <w:pPr>
      <w:spacing w:before="0" w:after="0"/>
    </w:pPr>
    <w:rPr>
      <w:rFonts w:asciiTheme="majorHAnsi" w:eastAsiaTheme="majorEastAsia" w:hAnsiTheme="majorHAnsi" w:cstheme="majorBidi"/>
      <w:caps/>
      <w:color w:val="3494BA" w:themeColor="accent1"/>
      <w:spacing w:val="10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E7F96"/>
    <w:rPr>
      <w:rFonts w:asciiTheme="majorHAnsi" w:eastAsiaTheme="majorEastAsia" w:hAnsiTheme="majorHAnsi" w:cstheme="majorBidi"/>
      <w:caps/>
      <w:color w:val="3494BA" w:themeColor="accent1"/>
      <w:spacing w:val="10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E7F96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nadpisChar">
    <w:name w:val="Podnadpis Char"/>
    <w:basedOn w:val="Standardnpsmoodstavce"/>
    <w:link w:val="Podnadpis"/>
    <w:uiPriority w:val="11"/>
    <w:rsid w:val="000E7F96"/>
    <w:rPr>
      <w:caps/>
      <w:color w:val="595959" w:themeColor="text1" w:themeTint="A6"/>
      <w:spacing w:val="10"/>
      <w:sz w:val="21"/>
      <w:szCs w:val="21"/>
    </w:rPr>
  </w:style>
  <w:style w:type="character" w:styleId="Siln">
    <w:name w:val="Strong"/>
    <w:uiPriority w:val="22"/>
    <w:qFormat/>
    <w:rsid w:val="000E7F96"/>
    <w:rPr>
      <w:b/>
      <w:bCs/>
    </w:rPr>
  </w:style>
  <w:style w:type="character" w:styleId="Zdraznn">
    <w:name w:val="Emphasis"/>
    <w:uiPriority w:val="20"/>
    <w:qFormat/>
    <w:rsid w:val="000E7F96"/>
    <w:rPr>
      <w:caps/>
      <w:color w:val="1A495C" w:themeColor="accent1" w:themeShade="7F"/>
      <w:spacing w:val="5"/>
    </w:rPr>
  </w:style>
  <w:style w:type="paragraph" w:styleId="Bezmezer">
    <w:name w:val="No Spacing"/>
    <w:uiPriority w:val="1"/>
    <w:qFormat/>
    <w:rsid w:val="000E7F96"/>
    <w:pPr>
      <w:spacing w:after="0" w:line="240" w:lineRule="auto"/>
    </w:pPr>
  </w:style>
  <w:style w:type="paragraph" w:styleId="Citt">
    <w:name w:val="Quote"/>
    <w:basedOn w:val="Normln"/>
    <w:next w:val="Normln"/>
    <w:link w:val="CittChar"/>
    <w:uiPriority w:val="29"/>
    <w:qFormat/>
    <w:rsid w:val="000E7F96"/>
    <w:rPr>
      <w:i/>
      <w:iCs/>
      <w:sz w:val="24"/>
      <w:szCs w:val="24"/>
    </w:rPr>
  </w:style>
  <w:style w:type="character" w:customStyle="1" w:styleId="CittChar">
    <w:name w:val="Citát Char"/>
    <w:basedOn w:val="Standardnpsmoodstavce"/>
    <w:link w:val="Citt"/>
    <w:uiPriority w:val="29"/>
    <w:rsid w:val="000E7F96"/>
    <w:rPr>
      <w:i/>
      <w:iCs/>
      <w:sz w:val="24"/>
      <w:szCs w:val="24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E7F96"/>
    <w:pPr>
      <w:spacing w:before="240" w:after="240" w:line="240" w:lineRule="auto"/>
      <w:ind w:left="1080" w:right="1080"/>
      <w:jc w:val="center"/>
    </w:pPr>
    <w:rPr>
      <w:color w:val="3494BA" w:themeColor="accent1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E7F96"/>
    <w:rPr>
      <w:color w:val="3494BA" w:themeColor="accent1"/>
      <w:sz w:val="24"/>
      <w:szCs w:val="24"/>
    </w:rPr>
  </w:style>
  <w:style w:type="character" w:styleId="Zdraznnjemn">
    <w:name w:val="Subtle Emphasis"/>
    <w:uiPriority w:val="19"/>
    <w:qFormat/>
    <w:rsid w:val="000E7F96"/>
    <w:rPr>
      <w:i/>
      <w:iCs/>
      <w:color w:val="1A495C" w:themeColor="accent1" w:themeShade="7F"/>
    </w:rPr>
  </w:style>
  <w:style w:type="character" w:styleId="Zdraznnintenzivn">
    <w:name w:val="Intense Emphasis"/>
    <w:uiPriority w:val="21"/>
    <w:qFormat/>
    <w:rsid w:val="000E7F96"/>
    <w:rPr>
      <w:b/>
      <w:bCs/>
      <w:caps/>
      <w:color w:val="1A495C" w:themeColor="accent1" w:themeShade="7F"/>
      <w:spacing w:val="10"/>
    </w:rPr>
  </w:style>
  <w:style w:type="character" w:styleId="Odkazjemn">
    <w:name w:val="Subtle Reference"/>
    <w:uiPriority w:val="31"/>
    <w:qFormat/>
    <w:rsid w:val="000E7F96"/>
    <w:rPr>
      <w:b/>
      <w:bCs/>
      <w:color w:val="3494BA" w:themeColor="accent1"/>
    </w:rPr>
  </w:style>
  <w:style w:type="character" w:styleId="Odkazintenzivn">
    <w:name w:val="Intense Reference"/>
    <w:uiPriority w:val="32"/>
    <w:qFormat/>
    <w:rsid w:val="000E7F96"/>
    <w:rPr>
      <w:b/>
      <w:bCs/>
      <w:i/>
      <w:iCs/>
      <w:caps/>
      <w:color w:val="3494BA" w:themeColor="accent1"/>
    </w:rPr>
  </w:style>
  <w:style w:type="character" w:styleId="Nzevknihy">
    <w:name w:val="Book Title"/>
    <w:uiPriority w:val="33"/>
    <w:qFormat/>
    <w:rsid w:val="000E7F96"/>
    <w:rPr>
      <w:b/>
      <w:bCs/>
      <w:i/>
      <w:iCs/>
      <w:spacing w:val="0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0E7F96"/>
    <w:pPr>
      <w:outlineLvl w:val="9"/>
    </w:pPr>
  </w:style>
  <w:style w:type="table" w:customStyle="1" w:styleId="Barevntabulkaseznamu71">
    <w:name w:val="Barevná tabulka seznamu 71"/>
    <w:basedOn w:val="Normlntabulka"/>
    <w:uiPriority w:val="52"/>
    <w:rsid w:val="000E7F96"/>
    <w:pPr>
      <w:spacing w:before="0" w:after="0" w:line="240" w:lineRule="auto"/>
    </w:pPr>
    <w:rPr>
      <w:color w:val="000000" w:themeColor="text1"/>
      <w:sz w:val="22"/>
      <w:szCs w:val="22"/>
      <w:lang w:eastAsia="cs-CZ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Barevntabulkasmkou7zvraznn11">
    <w:name w:val="Barevná tabulka s mřížkou 7 – zvýraznění 11"/>
    <w:basedOn w:val="Normlntabulka"/>
    <w:uiPriority w:val="52"/>
    <w:rsid w:val="000E7F96"/>
    <w:pPr>
      <w:spacing w:after="0" w:line="240" w:lineRule="auto"/>
    </w:pPr>
    <w:rPr>
      <w:color w:val="276E8B" w:themeColor="accent1" w:themeShade="BF"/>
    </w:rPr>
    <w:tblPr>
      <w:tblStyleRowBandSize w:val="1"/>
      <w:tblStyleColBandSize w:val="1"/>
      <w:tblBorders>
        <w:top w:val="single" w:sz="4" w:space="0" w:color="7FC0DB" w:themeColor="accent1" w:themeTint="99"/>
        <w:left w:val="single" w:sz="4" w:space="0" w:color="7FC0DB" w:themeColor="accent1" w:themeTint="99"/>
        <w:bottom w:val="single" w:sz="4" w:space="0" w:color="7FC0DB" w:themeColor="accent1" w:themeTint="99"/>
        <w:right w:val="single" w:sz="4" w:space="0" w:color="7FC0DB" w:themeColor="accent1" w:themeTint="99"/>
        <w:insideH w:val="single" w:sz="4" w:space="0" w:color="7FC0DB" w:themeColor="accent1" w:themeTint="99"/>
        <w:insideV w:val="single" w:sz="4" w:space="0" w:color="7FC0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EAF3" w:themeFill="accent1" w:themeFillTint="33"/>
      </w:tcPr>
    </w:tblStylePr>
    <w:tblStylePr w:type="band1Horz">
      <w:tblPr/>
      <w:tcPr>
        <w:shd w:val="clear" w:color="auto" w:fill="D4EAF3" w:themeFill="accent1" w:themeFillTint="33"/>
      </w:tcPr>
    </w:tblStylePr>
    <w:tblStylePr w:type="neCell">
      <w:tblPr/>
      <w:tcPr>
        <w:tcBorders>
          <w:bottom w:val="single" w:sz="4" w:space="0" w:color="7FC0DB" w:themeColor="accent1" w:themeTint="99"/>
        </w:tcBorders>
      </w:tcPr>
    </w:tblStylePr>
    <w:tblStylePr w:type="nwCell">
      <w:tblPr/>
      <w:tcPr>
        <w:tcBorders>
          <w:bottom w:val="single" w:sz="4" w:space="0" w:color="7FC0DB" w:themeColor="accent1" w:themeTint="99"/>
        </w:tcBorders>
      </w:tcPr>
    </w:tblStylePr>
    <w:tblStylePr w:type="seCell">
      <w:tblPr/>
      <w:tcPr>
        <w:tcBorders>
          <w:top w:val="single" w:sz="4" w:space="0" w:color="7FC0DB" w:themeColor="accent1" w:themeTint="99"/>
        </w:tcBorders>
      </w:tcPr>
    </w:tblStylePr>
    <w:tblStylePr w:type="swCell">
      <w:tblPr/>
      <w:tcPr>
        <w:tcBorders>
          <w:top w:val="single" w:sz="4" w:space="0" w:color="7FC0DB" w:themeColor="accent1" w:themeTint="99"/>
        </w:tcBorders>
      </w:tcPr>
    </w:tblStylePr>
  </w:style>
  <w:style w:type="table" w:customStyle="1" w:styleId="Barevntabulkasmkou7zvraznn21">
    <w:name w:val="Barevná tabulka s mřížkou 7 – zvýraznění 21"/>
    <w:basedOn w:val="Normlntabulka"/>
    <w:uiPriority w:val="52"/>
    <w:rsid w:val="000E7F96"/>
    <w:pPr>
      <w:spacing w:after="0" w:line="240" w:lineRule="auto"/>
    </w:pPr>
    <w:rPr>
      <w:color w:val="398E98" w:themeColor="accent2" w:themeShade="BF"/>
    </w:rPr>
    <w:tblPr>
      <w:tblStyleRowBandSize w:val="1"/>
      <w:tblStyleColBandSize w:val="1"/>
      <w:tblBorders>
        <w:top w:val="single" w:sz="4" w:space="0" w:color="9AD3D9" w:themeColor="accent2" w:themeTint="99"/>
        <w:left w:val="single" w:sz="4" w:space="0" w:color="9AD3D9" w:themeColor="accent2" w:themeTint="99"/>
        <w:bottom w:val="single" w:sz="4" w:space="0" w:color="9AD3D9" w:themeColor="accent2" w:themeTint="99"/>
        <w:right w:val="single" w:sz="4" w:space="0" w:color="9AD3D9" w:themeColor="accent2" w:themeTint="99"/>
        <w:insideH w:val="single" w:sz="4" w:space="0" w:color="9AD3D9" w:themeColor="accent2" w:themeTint="99"/>
        <w:insideV w:val="single" w:sz="4" w:space="0" w:color="9AD3D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F0F2" w:themeFill="accent2" w:themeFillTint="33"/>
      </w:tcPr>
    </w:tblStylePr>
    <w:tblStylePr w:type="band1Horz">
      <w:tblPr/>
      <w:tcPr>
        <w:shd w:val="clear" w:color="auto" w:fill="DDF0F2" w:themeFill="accent2" w:themeFillTint="33"/>
      </w:tcPr>
    </w:tblStylePr>
    <w:tblStylePr w:type="neCell">
      <w:tblPr/>
      <w:tcPr>
        <w:tcBorders>
          <w:bottom w:val="single" w:sz="4" w:space="0" w:color="9AD3D9" w:themeColor="accent2" w:themeTint="99"/>
        </w:tcBorders>
      </w:tcPr>
    </w:tblStylePr>
    <w:tblStylePr w:type="nwCell">
      <w:tblPr/>
      <w:tcPr>
        <w:tcBorders>
          <w:bottom w:val="single" w:sz="4" w:space="0" w:color="9AD3D9" w:themeColor="accent2" w:themeTint="99"/>
        </w:tcBorders>
      </w:tcPr>
    </w:tblStylePr>
    <w:tblStylePr w:type="seCell">
      <w:tblPr/>
      <w:tcPr>
        <w:tcBorders>
          <w:top w:val="single" w:sz="4" w:space="0" w:color="9AD3D9" w:themeColor="accent2" w:themeTint="99"/>
        </w:tcBorders>
      </w:tcPr>
    </w:tblStylePr>
    <w:tblStylePr w:type="swCell">
      <w:tblPr/>
      <w:tcPr>
        <w:tcBorders>
          <w:top w:val="single" w:sz="4" w:space="0" w:color="9AD3D9" w:themeColor="accent2" w:themeTint="99"/>
        </w:tcBorders>
      </w:tcPr>
    </w:tblStyle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E7F96"/>
    <w:pPr>
      <w:spacing w:before="0" w:after="0" w:line="240" w:lineRule="auto"/>
    </w:pPr>
    <w:rPr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E7F96"/>
    <w:rPr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E7F96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6B3DB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B3DB5"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B3DB5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3DB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3DB5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B3DB5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B3DB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7F78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– první prvek a datum" Version="1987"/>
</file>

<file path=customXml/itemProps1.xml><?xml version="1.0" encoding="utf-8"?>
<ds:datastoreItem xmlns:ds="http://schemas.openxmlformats.org/officeDocument/2006/customXml" ds:itemID="{1225A80B-DC8E-451F-9C86-C55069BE1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764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Ludek Moravec</dc:creator>
  <cp:keywords/>
  <dc:description/>
  <cp:lastModifiedBy>Ceklová Michaela, Mgr.</cp:lastModifiedBy>
  <cp:revision>6</cp:revision>
  <cp:lastPrinted>2023-02-01T11:20:00Z</cp:lastPrinted>
  <dcterms:created xsi:type="dcterms:W3CDTF">2026-02-02T08:43:00Z</dcterms:created>
  <dcterms:modified xsi:type="dcterms:W3CDTF">2026-02-02T09:00:00Z</dcterms:modified>
</cp:coreProperties>
</file>